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3EABF" w14:textId="1776B4E5" w:rsidR="00D61B28" w:rsidRPr="00BA672E" w:rsidRDefault="00000000" w:rsidP="00960389">
      <w:pPr>
        <w:pStyle w:val="OHHRight"/>
      </w:pPr>
      <w:r w:rsidRPr="00D61B28">
        <w:t xml:space="preserve">Court File No. </w:t>
      </w:r>
      <w:r w:rsidR="00E00FE3" w:rsidRPr="00E00FE3">
        <w:t>CV-24-00729147-00CL</w:t>
      </w:r>
    </w:p>
    <w:p w14:paraId="08ECFE40" w14:textId="77777777" w:rsidR="00895E49" w:rsidRPr="00D61B28" w:rsidRDefault="00000000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000000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000000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000000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000000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p w14:paraId="18DACB7D" w14:textId="55A3D2CC" w:rsidR="00D61B28" w:rsidRPr="00433303" w:rsidRDefault="00000000" w:rsidP="00433303">
      <w:pPr>
        <w:pStyle w:val="OHHpara"/>
        <w:jc w:val="center"/>
        <w:rPr>
          <w:lang w:val="fr-FR"/>
        </w:rPr>
      </w:pPr>
      <w:hyperlink r:id="rId7" w:history="1">
        <w:r w:rsidR="00BA672E" w:rsidRPr="00BA672E">
          <w:rPr>
            <w:rStyle w:val="Hyperlink"/>
            <w:lang w:val="fr-FR"/>
          </w:rPr>
          <w:t>mwasserman@osler.com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10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 xml:space="preserve">; </w:t>
      </w:r>
      <w:hyperlink r:id="rId11" w:history="1">
        <w:r w:rsidR="00BA672E" w:rsidRPr="00BA672E">
          <w:rPr>
            <w:rStyle w:val="Hyperlink"/>
            <w:lang w:val="fr-FR"/>
          </w:rPr>
          <w:t>smonahan@osler.com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2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3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4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5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6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7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8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9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20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21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2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3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4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5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6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7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8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9" w:history="1">
        <w:r w:rsidR="00255FE1" w:rsidRPr="00A54B2C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0" w:history="1">
        <w:r w:rsidR="00255FE1" w:rsidRPr="00A54B2C">
          <w:rPr>
            <w:rStyle w:val="Hyperlink"/>
            <w:lang w:val="fr-FR"/>
          </w:rPr>
          <w:t>Kelly.SmithWayland@justice.gc.ca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1" w:history="1">
        <w:r w:rsidR="00255FE1" w:rsidRPr="00A54B2C">
          <w:rPr>
            <w:rStyle w:val="Hyperlink"/>
            <w:lang w:val="fr-FR"/>
          </w:rPr>
          <w:t>Tessania.Lawrence@justice.gc.ca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2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3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4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5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6" w:history="1">
        <w:r w:rsidR="00255FE1" w:rsidRPr="00A54B2C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7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8" w:history="1">
        <w:r w:rsidR="00255FE1" w:rsidRPr="00A54B2C">
          <w:rPr>
            <w:rStyle w:val="Hyperlink"/>
            <w:lang w:val="fr-FR"/>
          </w:rPr>
          <w:t>tiffany.williams@linde.com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</w:p>
    <w:sectPr w:rsidR="00D61B28" w:rsidRPr="00433303" w:rsidSect="00410502">
      <w:headerReference w:type="even" r:id="rId39"/>
      <w:headerReference w:type="default" r:id="rId40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63BF8" w14:textId="77777777" w:rsidR="006D3356" w:rsidRDefault="006D3356">
      <w:r>
        <w:separator/>
      </w:r>
    </w:p>
  </w:endnote>
  <w:endnote w:type="continuationSeparator" w:id="0">
    <w:p w14:paraId="4A07F6A8" w14:textId="77777777" w:rsidR="006D3356" w:rsidRDefault="006D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8D559" w14:textId="77777777" w:rsidR="006D3356" w:rsidRDefault="006D3356">
      <w:r>
        <w:separator/>
      </w:r>
    </w:p>
  </w:footnote>
  <w:footnote w:type="continuationSeparator" w:id="0">
    <w:p w14:paraId="5B46645D" w14:textId="77777777" w:rsidR="006D3356" w:rsidRDefault="006D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000000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600BB"/>
    <w:rsid w:val="00066D9E"/>
    <w:rsid w:val="0007176A"/>
    <w:rsid w:val="00075C02"/>
    <w:rsid w:val="000856D3"/>
    <w:rsid w:val="00092380"/>
    <w:rsid w:val="000A0FA6"/>
    <w:rsid w:val="000A7DA3"/>
    <w:rsid w:val="000C5A46"/>
    <w:rsid w:val="000C7F1F"/>
    <w:rsid w:val="000D4AF1"/>
    <w:rsid w:val="000E1E39"/>
    <w:rsid w:val="000E5AE7"/>
    <w:rsid w:val="000F48E6"/>
    <w:rsid w:val="00100AD5"/>
    <w:rsid w:val="001100D2"/>
    <w:rsid w:val="00130CAA"/>
    <w:rsid w:val="00141EE5"/>
    <w:rsid w:val="0014296F"/>
    <w:rsid w:val="001432C5"/>
    <w:rsid w:val="0015307F"/>
    <w:rsid w:val="001623EB"/>
    <w:rsid w:val="00164BF5"/>
    <w:rsid w:val="00174ED2"/>
    <w:rsid w:val="00185B92"/>
    <w:rsid w:val="00193B8F"/>
    <w:rsid w:val="001C02D3"/>
    <w:rsid w:val="001D738C"/>
    <w:rsid w:val="002052C3"/>
    <w:rsid w:val="00216142"/>
    <w:rsid w:val="00233F96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44E7"/>
    <w:rsid w:val="0034721E"/>
    <w:rsid w:val="00355772"/>
    <w:rsid w:val="003612F2"/>
    <w:rsid w:val="003615D4"/>
    <w:rsid w:val="00366322"/>
    <w:rsid w:val="00374125"/>
    <w:rsid w:val="00383377"/>
    <w:rsid w:val="003A27EE"/>
    <w:rsid w:val="003B113B"/>
    <w:rsid w:val="003E3344"/>
    <w:rsid w:val="003F0289"/>
    <w:rsid w:val="004033BE"/>
    <w:rsid w:val="00410502"/>
    <w:rsid w:val="00417A01"/>
    <w:rsid w:val="00420B46"/>
    <w:rsid w:val="00433303"/>
    <w:rsid w:val="0045001A"/>
    <w:rsid w:val="00453FFB"/>
    <w:rsid w:val="004B0A49"/>
    <w:rsid w:val="004B4E82"/>
    <w:rsid w:val="004C432D"/>
    <w:rsid w:val="004C4BEC"/>
    <w:rsid w:val="00525F4C"/>
    <w:rsid w:val="00533F5E"/>
    <w:rsid w:val="00542FBB"/>
    <w:rsid w:val="00543057"/>
    <w:rsid w:val="00547B76"/>
    <w:rsid w:val="00552F2B"/>
    <w:rsid w:val="005578C9"/>
    <w:rsid w:val="00564ACF"/>
    <w:rsid w:val="005C0C07"/>
    <w:rsid w:val="005E7E4D"/>
    <w:rsid w:val="00604CB5"/>
    <w:rsid w:val="00606245"/>
    <w:rsid w:val="0068530E"/>
    <w:rsid w:val="00685DB1"/>
    <w:rsid w:val="00691E00"/>
    <w:rsid w:val="006A4177"/>
    <w:rsid w:val="006C6C15"/>
    <w:rsid w:val="006D3356"/>
    <w:rsid w:val="006E004C"/>
    <w:rsid w:val="0071226D"/>
    <w:rsid w:val="0073236A"/>
    <w:rsid w:val="00743CBD"/>
    <w:rsid w:val="007442D0"/>
    <w:rsid w:val="00752B4B"/>
    <w:rsid w:val="007962C4"/>
    <w:rsid w:val="007A68CA"/>
    <w:rsid w:val="007B3A3E"/>
    <w:rsid w:val="007E7908"/>
    <w:rsid w:val="007F267A"/>
    <w:rsid w:val="00810184"/>
    <w:rsid w:val="00836FE2"/>
    <w:rsid w:val="00842E6D"/>
    <w:rsid w:val="008501FD"/>
    <w:rsid w:val="00895E49"/>
    <w:rsid w:val="008A75F4"/>
    <w:rsid w:val="008B0D74"/>
    <w:rsid w:val="008C771F"/>
    <w:rsid w:val="008D10BA"/>
    <w:rsid w:val="008D3779"/>
    <w:rsid w:val="008E2D81"/>
    <w:rsid w:val="008F2917"/>
    <w:rsid w:val="008F5C5A"/>
    <w:rsid w:val="008F7FF4"/>
    <w:rsid w:val="009327DC"/>
    <w:rsid w:val="009356DA"/>
    <w:rsid w:val="009408D7"/>
    <w:rsid w:val="0095472B"/>
    <w:rsid w:val="00960389"/>
    <w:rsid w:val="00972960"/>
    <w:rsid w:val="009C06EE"/>
    <w:rsid w:val="009D786F"/>
    <w:rsid w:val="009E58F6"/>
    <w:rsid w:val="00A013DB"/>
    <w:rsid w:val="00A01875"/>
    <w:rsid w:val="00A15750"/>
    <w:rsid w:val="00A544A0"/>
    <w:rsid w:val="00A54B2C"/>
    <w:rsid w:val="00A607FB"/>
    <w:rsid w:val="00A65531"/>
    <w:rsid w:val="00A667A1"/>
    <w:rsid w:val="00A7084C"/>
    <w:rsid w:val="00A852AE"/>
    <w:rsid w:val="00A94AC6"/>
    <w:rsid w:val="00AA6A29"/>
    <w:rsid w:val="00AA6DDD"/>
    <w:rsid w:val="00AC2E4E"/>
    <w:rsid w:val="00B23A2A"/>
    <w:rsid w:val="00B4264F"/>
    <w:rsid w:val="00B86C51"/>
    <w:rsid w:val="00B87BAE"/>
    <w:rsid w:val="00B91BDB"/>
    <w:rsid w:val="00B97EB0"/>
    <w:rsid w:val="00BA672E"/>
    <w:rsid w:val="00BB7C65"/>
    <w:rsid w:val="00BE3461"/>
    <w:rsid w:val="00BE392B"/>
    <w:rsid w:val="00BE7CD3"/>
    <w:rsid w:val="00BF029E"/>
    <w:rsid w:val="00BF688D"/>
    <w:rsid w:val="00C07EE1"/>
    <w:rsid w:val="00C42951"/>
    <w:rsid w:val="00C4506D"/>
    <w:rsid w:val="00C46D6C"/>
    <w:rsid w:val="00C8636D"/>
    <w:rsid w:val="00CA63F9"/>
    <w:rsid w:val="00CA7274"/>
    <w:rsid w:val="00CB327A"/>
    <w:rsid w:val="00CB6E97"/>
    <w:rsid w:val="00CC7083"/>
    <w:rsid w:val="00CF5BBB"/>
    <w:rsid w:val="00D1622C"/>
    <w:rsid w:val="00D21E9D"/>
    <w:rsid w:val="00D61B28"/>
    <w:rsid w:val="00D71A59"/>
    <w:rsid w:val="00D939CA"/>
    <w:rsid w:val="00D940E3"/>
    <w:rsid w:val="00DA5701"/>
    <w:rsid w:val="00DC0033"/>
    <w:rsid w:val="00DC4EF2"/>
    <w:rsid w:val="00DE5F8D"/>
    <w:rsid w:val="00E00FE3"/>
    <w:rsid w:val="00E03186"/>
    <w:rsid w:val="00E13146"/>
    <w:rsid w:val="00E21D3F"/>
    <w:rsid w:val="00E2680C"/>
    <w:rsid w:val="00E37F2F"/>
    <w:rsid w:val="00E50FE2"/>
    <w:rsid w:val="00EC4C24"/>
    <w:rsid w:val="00EC79C0"/>
    <w:rsid w:val="00EE345B"/>
    <w:rsid w:val="00F44619"/>
    <w:rsid w:val="00F721B2"/>
    <w:rsid w:val="00F77042"/>
    <w:rsid w:val="00F86617"/>
    <w:rsid w:val="00F90D30"/>
    <w:rsid w:val="00F97962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rek.hunter@kirkland.com" TargetMode="External"/><Relationship Id="rId18" Type="http://schemas.openxmlformats.org/officeDocument/2006/relationships/hyperlink" Target="mailto:tammy.muradova@pwc.com" TargetMode="External"/><Relationship Id="rId26" Type="http://schemas.openxmlformats.org/officeDocument/2006/relationships/hyperlink" Target="mailto:rchadwick@goodmans.ca" TargetMode="External"/><Relationship Id="rId39" Type="http://schemas.openxmlformats.org/officeDocument/2006/relationships/header" Target="header1.xml"/><Relationship Id="rId21" Type="http://schemas.openxmlformats.org/officeDocument/2006/relationships/hyperlink" Target="mailto:shakram@bennettjones.com" TargetMode="External"/><Relationship Id="rId34" Type="http://schemas.openxmlformats.org/officeDocument/2006/relationships/hyperlink" Target="mailto:anthony.hernandez@gm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regory.n.prince@pwc.com" TargetMode="External"/><Relationship Id="rId20" Type="http://schemas.openxmlformats.org/officeDocument/2006/relationships/hyperlink" Target="mailto:zweigs@bennettjones.com" TargetMode="External"/><Relationship Id="rId29" Type="http://schemas.openxmlformats.org/officeDocument/2006/relationships/hyperlink" Target="mailto:Edward.Park@justice.gc.c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onahan@osler.com" TargetMode="External"/><Relationship Id="rId24" Type="http://schemas.openxmlformats.org/officeDocument/2006/relationships/hyperlink" Target="mailto:ahutchens@alvarezandmarsal.com" TargetMode="External"/><Relationship Id="rId32" Type="http://schemas.openxmlformats.org/officeDocument/2006/relationships/hyperlink" Target="mailto:AGC-PGC.Toronto-Tax-Fiscal@justice.gc.ca" TargetMode="External"/><Relationship Id="rId37" Type="http://schemas.openxmlformats.org/officeDocument/2006/relationships/hyperlink" Target="mailto:bpeay@vfi.net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mason.zurek@kirkland.com" TargetMode="External"/><Relationship Id="rId23" Type="http://schemas.openxmlformats.org/officeDocument/2006/relationships/hyperlink" Target="mailto:cmoore@alvarezandmarsal.com" TargetMode="External"/><Relationship Id="rId28" Type="http://schemas.openxmlformats.org/officeDocument/2006/relationships/hyperlink" Target="mailto:kassandra@eemclaughlin.com" TargetMode="External"/><Relationship Id="rId36" Type="http://schemas.openxmlformats.org/officeDocument/2006/relationships/hyperlink" Target="mailto:Christopher.Rase@isuzu.com" TargetMode="External"/><Relationship Id="rId10" Type="http://schemas.openxmlformats.org/officeDocument/2006/relationships/hyperlink" Target="mailto:arintoul@osler.com" TargetMode="External"/><Relationship Id="rId19" Type="http://schemas.openxmlformats.org/officeDocument/2006/relationships/hyperlink" Target="mailto:michael.s.scauzillo@pwc.com" TargetMode="External"/><Relationship Id="rId31" Type="http://schemas.openxmlformats.org/officeDocument/2006/relationships/hyperlink" Target="mailto:Tessania.Lawrence@justice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lvaruso@osler.com" TargetMode="External"/><Relationship Id="rId14" Type="http://schemas.openxmlformats.org/officeDocument/2006/relationships/hyperlink" Target="mailto:alex.mccammon@kirkland.com" TargetMode="External"/><Relationship Id="rId22" Type="http://schemas.openxmlformats.org/officeDocument/2006/relationships/hyperlink" Target="mailto:ernstj@bennettjones.com" TargetMode="External"/><Relationship Id="rId27" Type="http://schemas.openxmlformats.org/officeDocument/2006/relationships/hyperlink" Target="mailto:jlinde@goodmans.ca" TargetMode="External"/><Relationship Id="rId30" Type="http://schemas.openxmlformats.org/officeDocument/2006/relationships/hyperlink" Target="mailto:Kelly.SmithWayland@justice.gc.ca" TargetMode="External"/><Relationship Id="rId35" Type="http://schemas.openxmlformats.org/officeDocument/2006/relationships/hyperlink" Target="mailto:dana.moody@gm.com" TargetMode="External"/><Relationship Id="rId8" Type="http://schemas.openxmlformats.org/officeDocument/2006/relationships/hyperlink" Target="mailto:sirving@osl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mamonkina@osler.com" TargetMode="External"/><Relationship Id="rId17" Type="http://schemas.openxmlformats.org/officeDocument/2006/relationships/hyperlink" Target="mailto:tyler.ray@pwc.com" TargetMode="External"/><Relationship Id="rId25" Type="http://schemas.openxmlformats.org/officeDocument/2006/relationships/hyperlink" Target="mailto:ecorrado@alvarezandmarsal.com" TargetMode="External"/><Relationship Id="rId33" Type="http://schemas.openxmlformats.org/officeDocument/2006/relationships/hyperlink" Target="mailto:insolvency.unit@ontario.ca" TargetMode="External"/><Relationship Id="rId38" Type="http://schemas.openxmlformats.org/officeDocument/2006/relationships/hyperlink" Target="mailto:tiffany.williams@li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2024-10-10T19:00:00Z</dcterms:created>
  <dcterms:modified xsi:type="dcterms:W3CDTF">2024-10-10T22:20:00Z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-SETTINGS">
    <vt:lpwstr>0</vt:lpwstr>
  </property>
  <property fmtid="{D5CDD505-2E9C-101B-9397-08002B2CF9AE}" pid="3" name="WordLXNoDocIdAutoUpdate">
    <vt:lpwstr>True</vt:lpwstr>
  </property>
</Properties>
</file>